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142"/>
        <w:gridCol w:w="992"/>
        <w:gridCol w:w="1134"/>
        <w:gridCol w:w="425"/>
        <w:gridCol w:w="142"/>
        <w:gridCol w:w="283"/>
        <w:gridCol w:w="9"/>
        <w:gridCol w:w="1976"/>
        <w:gridCol w:w="142"/>
        <w:gridCol w:w="1127"/>
        <w:gridCol w:w="1408"/>
        <w:tblGridChange w:id="0">
          <w:tblGrid>
            <w:gridCol w:w="1526"/>
            <w:gridCol w:w="142"/>
            <w:gridCol w:w="992"/>
            <w:gridCol w:w="1134"/>
            <w:gridCol w:w="425"/>
            <w:gridCol w:w="142"/>
            <w:gridCol w:w="283"/>
            <w:gridCol w:w="9"/>
            <w:gridCol w:w="1976"/>
            <w:gridCol w:w="142"/>
            <w:gridCol w:w="1127"/>
            <w:gridCol w:w="1408"/>
          </w:tblGrid>
        </w:tblGridChange>
      </w:tblGrid>
      <w:tr>
        <w:trPr>
          <w:trHeight w:val="280" w:hRule="atLeast"/>
        </w:trPr>
        <w:tc>
          <w:tcPr>
            <w:gridSpan w:val="1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entury Gothic" w:cs="Century Gothic" w:eastAsia="Century Gothic" w:hAnsi="Century Gothic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vertAlign w:val="baseline"/>
                <w:rtl w:val="0"/>
              </w:rPr>
              <w:t xml:space="preserve">DECLARAÇÃO DE BENS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EXERCÍCIO: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2f2f2" w:val="clear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ANO BASE: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R.G.: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C.P.F.: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C.E.P.: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TELEFONES: (RES.)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(CEL.)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FILIAÇÃO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PAI: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MÃE: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CÔNJUGE: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MATRÍCULA: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1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LOTAÇÃO (DIRETORIA/SUBÁREA OU PROMOTORIA):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INGRESSO (MP):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CONTA(S) BANCÁRIA(S):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Conta: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Conta: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Conta: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1"/>
                <w:szCs w:val="2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Conta: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1"/>
                <w:szCs w:val="21"/>
                <w:vertAlign w:val="baseline"/>
                <w:rtl w:val="0"/>
              </w:rPr>
              <w:t xml:space="preserve">, a vista do contido no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1"/>
                <w:szCs w:val="21"/>
                <w:vertAlign w:val="baseline"/>
                <w:rtl w:val="0"/>
              </w:rPr>
              <w:t xml:space="preserve">ATO PGJ Nº 54/95,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1"/>
                <w:szCs w:val="21"/>
                <w:vertAlign w:val="baseline"/>
                <w:rtl w:val="0"/>
              </w:rPr>
              <w:t xml:space="preserve"> de 15/2/1995, publicado no D.O.E. de 16/2/1995, em cumprimento ao disposto no artigo 13 da Lei 8.429/92, que possuo os seguintes bens:</w:t>
            </w:r>
          </w:p>
        </w:tc>
      </w:tr>
      <w:tr>
        <w:trPr>
          <w:trHeight w:val="4800" w:hRule="atLeast"/>
        </w:trPr>
        <w:tc>
          <w:tcPr>
            <w:gridSpan w:val="1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rFonts w:ascii="Century Gothic" w:cs="Century Gothic" w:eastAsia="Century Gothic" w:hAnsi="Century Gothic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vertAlign w:val="baseline"/>
          <w:rtl w:val="0"/>
        </w:rPr>
        <w:t xml:space="preserve">Para constar, firmo a presente declaração.</w:t>
      </w:r>
    </w:p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vertAlign w:val="baseline"/>
          <w:rtl w:val="0"/>
        </w:rPr>
        <w:t xml:space="preserve">                                    ,             de                                 de 2013.</w:t>
      </w:r>
    </w:p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1701"/>
        <w:contextualSpacing w:val="0"/>
        <w:jc w:val="both"/>
        <w:rPr>
          <w:rFonts w:ascii="Century Gothic" w:cs="Century Gothic" w:eastAsia="Century Gothic" w:hAnsi="Century Gothic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1701"/>
        <w:contextualSpacing w:val="0"/>
        <w:jc w:val="center"/>
        <w:rPr>
          <w:rFonts w:ascii="Century Gothic" w:cs="Century Gothic" w:eastAsia="Century Gothic" w:hAnsi="Century Gothic"/>
          <w:sz w:val="21"/>
          <w:szCs w:val="21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1"/>
          <w:szCs w:val="21"/>
          <w:vertAlign w:val="baseline"/>
          <w:rtl w:val="0"/>
        </w:rPr>
        <w:t xml:space="preserve">_______________________________________</w:t>
      </w:r>
    </w:p>
    <w:sectPr>
      <w:headerReference r:id="rId5" w:type="default"/>
      <w:headerReference r:id="rId6" w:type="first"/>
      <w:headerReference r:id="rId7" w:type="even"/>
      <w:footerReference r:id="rId8" w:type="default"/>
      <w:footerReference r:id="rId9" w:type="first"/>
      <w:footerReference r:id="rId10" w:type="even"/>
      <w:pgSz w:h="16840" w:w="11907"/>
      <w:pgMar w:bottom="1134" w:top="1701" w:left="1701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contextualSpacing w:val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OBS.: O presente formulário deverá ser encaminhado devidamente preenchido, assinado e digitalizado (formato PDF).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evenAndOddHeaders w:val="1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